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5ACE3" w14:textId="6E7E0DB8" w:rsidR="00380E16" w:rsidRDefault="00F20B43">
      <w:pPr>
        <w:tabs>
          <w:tab w:val="left" w:pos="9835"/>
        </w:tabs>
        <w:spacing w:before="70"/>
        <w:ind w:left="111"/>
        <w:rPr>
          <w:rFonts w:ascii="Book Antiqua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D9970D" wp14:editId="0F6D485F">
                <wp:simplePos x="0" y="0"/>
                <wp:positionH relativeFrom="page">
                  <wp:posOffset>286385</wp:posOffset>
                </wp:positionH>
                <wp:positionV relativeFrom="paragraph">
                  <wp:posOffset>198120</wp:posOffset>
                </wp:positionV>
                <wp:extent cx="7087870" cy="0"/>
                <wp:effectExtent l="0" t="0" r="0" b="0"/>
                <wp:wrapNone/>
                <wp:docPr id="86960444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787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08B3A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.55pt,15.6pt" to="580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" strokeweight=".6pt">
                <w10:wrap anchorx="page"/>
              </v:line>
            </w:pict>
          </mc:Fallback>
        </mc:AlternateContent>
      </w:r>
      <w:r>
        <w:rPr>
          <w:rFonts w:ascii="Book Antiqua"/>
          <w:b/>
          <w:i/>
        </w:rPr>
        <w:t>National Federation of</w:t>
      </w:r>
      <w:r>
        <w:rPr>
          <w:rFonts w:ascii="Book Antiqua"/>
          <w:b/>
          <w:i/>
          <w:spacing w:val="-12"/>
        </w:rPr>
        <w:t xml:space="preserve"> </w:t>
      </w:r>
      <w:r>
        <w:rPr>
          <w:rFonts w:ascii="Book Antiqua"/>
          <w:b/>
          <w:i/>
        </w:rPr>
        <w:t>Music</w:t>
      </w:r>
      <w:r>
        <w:rPr>
          <w:rFonts w:ascii="Book Antiqua"/>
          <w:b/>
          <w:i/>
          <w:spacing w:val="-2"/>
        </w:rPr>
        <w:t xml:space="preserve"> </w:t>
      </w:r>
      <w:r>
        <w:rPr>
          <w:rFonts w:ascii="Book Antiqua"/>
          <w:b/>
          <w:i/>
        </w:rPr>
        <w:t>Clubs</w:t>
      </w:r>
      <w:r>
        <w:rPr>
          <w:rFonts w:ascii="Book Antiqua"/>
          <w:b/>
          <w:i/>
        </w:rPr>
        <w:tab/>
      </w:r>
      <w:r>
        <w:rPr>
          <w:rFonts w:ascii="Book Antiqua"/>
          <w:b/>
        </w:rPr>
        <w:t>Ad</w:t>
      </w:r>
      <w:r>
        <w:rPr>
          <w:rFonts w:ascii="Book Antiqua"/>
          <w:b/>
          <w:sz w:val="20"/>
        </w:rPr>
        <w:t>ministration</w:t>
      </w:r>
    </w:p>
    <w:p w14:paraId="3F56498F" w14:textId="77777777" w:rsidR="00380E16" w:rsidRDefault="00000000">
      <w:pPr>
        <w:spacing w:before="183"/>
        <w:ind w:left="3438" w:right="3594"/>
        <w:jc w:val="center"/>
        <w:rPr>
          <w:b/>
          <w:sz w:val="28"/>
        </w:rPr>
      </w:pPr>
      <w:r>
        <w:rPr>
          <w:b/>
          <w:sz w:val="28"/>
        </w:rPr>
        <w:t>NFMC Liability Request Form 2025-2026</w:t>
      </w:r>
    </w:p>
    <w:p w14:paraId="6C50C0E9" w14:textId="77777777" w:rsidR="00380E16" w:rsidRDefault="00000000">
      <w:pPr>
        <w:spacing w:before="167"/>
        <w:ind w:left="3438" w:right="3590"/>
        <w:jc w:val="center"/>
        <w:rPr>
          <w:sz w:val="20"/>
        </w:rPr>
      </w:pPr>
      <w:r>
        <w:rPr>
          <w:sz w:val="20"/>
        </w:rPr>
        <w:t>(for additional events attach separate sheets)</w:t>
      </w:r>
    </w:p>
    <w:p w14:paraId="71059796" w14:textId="77777777" w:rsidR="00380E16" w:rsidRDefault="00380E16">
      <w:pPr>
        <w:pStyle w:val="BodyText"/>
        <w:spacing w:before="4"/>
        <w:ind w:left="0"/>
        <w:rPr>
          <w:sz w:val="23"/>
        </w:r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5"/>
        <w:gridCol w:w="1278"/>
        <w:gridCol w:w="4631"/>
        <w:gridCol w:w="1229"/>
        <w:gridCol w:w="1253"/>
      </w:tblGrid>
      <w:tr w:rsidR="00380E16" w14:paraId="09D2E422" w14:textId="77777777">
        <w:trPr>
          <w:trHeight w:val="645"/>
        </w:trPr>
        <w:tc>
          <w:tcPr>
            <w:tcW w:w="2775" w:type="dxa"/>
          </w:tcPr>
          <w:p w14:paraId="7E9559E3" w14:textId="77777777" w:rsidR="00380E16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Event Name</w:t>
            </w:r>
          </w:p>
        </w:tc>
        <w:tc>
          <w:tcPr>
            <w:tcW w:w="1278" w:type="dxa"/>
          </w:tcPr>
          <w:p w14:paraId="42A6582B" w14:textId="77777777" w:rsidR="00380E16" w:rsidRDefault="00000000">
            <w:pPr>
              <w:pStyle w:val="TableParagraph"/>
              <w:ind w:left="107" w:right="424"/>
              <w:rPr>
                <w:sz w:val="24"/>
              </w:rPr>
            </w:pPr>
            <w:r>
              <w:rPr>
                <w:sz w:val="24"/>
              </w:rPr>
              <w:t>Date of Event</w:t>
            </w:r>
          </w:p>
        </w:tc>
        <w:tc>
          <w:tcPr>
            <w:tcW w:w="4631" w:type="dxa"/>
          </w:tcPr>
          <w:p w14:paraId="02914975" w14:textId="77777777" w:rsidR="00380E16" w:rsidRDefault="00000000"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r>
              <w:rPr>
                <w:sz w:val="24"/>
              </w:rPr>
              <w:t>Location of Event</w:t>
            </w:r>
          </w:p>
        </w:tc>
        <w:tc>
          <w:tcPr>
            <w:tcW w:w="1229" w:type="dxa"/>
          </w:tcPr>
          <w:p w14:paraId="1ABBCD32" w14:textId="77777777" w:rsidR="00380E16" w:rsidRDefault="00000000">
            <w:pPr>
              <w:pStyle w:val="TableParagraph"/>
              <w:ind w:left="106" w:right="81"/>
              <w:rPr>
                <w:sz w:val="24"/>
              </w:rPr>
            </w:pPr>
            <w:r>
              <w:rPr>
                <w:sz w:val="24"/>
              </w:rPr>
              <w:t>Certificate Required</w:t>
            </w:r>
          </w:p>
        </w:tc>
        <w:tc>
          <w:tcPr>
            <w:tcW w:w="1253" w:type="dxa"/>
          </w:tcPr>
          <w:p w14:paraId="31BBB9C7" w14:textId="77777777" w:rsidR="00380E16" w:rsidRDefault="00000000">
            <w:pPr>
              <w:pStyle w:val="TableParagraph"/>
              <w:ind w:left="103" w:right="568"/>
              <w:rPr>
                <w:sz w:val="24"/>
              </w:rPr>
            </w:pPr>
            <w:r>
              <w:rPr>
                <w:sz w:val="24"/>
              </w:rPr>
              <w:t>Event Fee $</w:t>
            </w:r>
          </w:p>
        </w:tc>
      </w:tr>
      <w:tr w:rsidR="00380E16" w14:paraId="458AFB06" w14:textId="77777777">
        <w:trPr>
          <w:trHeight w:val="647"/>
        </w:trPr>
        <w:tc>
          <w:tcPr>
            <w:tcW w:w="2775" w:type="dxa"/>
          </w:tcPr>
          <w:p w14:paraId="7A86A1D9" w14:textId="77777777" w:rsidR="00380E16" w:rsidRDefault="00380E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19FBF633" w14:textId="77777777" w:rsidR="00380E16" w:rsidRDefault="00380E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31" w:type="dxa"/>
          </w:tcPr>
          <w:p w14:paraId="7220B972" w14:textId="77777777" w:rsidR="00380E16" w:rsidRDefault="00380E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</w:tcPr>
          <w:p w14:paraId="6C775015" w14:textId="77777777" w:rsidR="00380E16" w:rsidRDefault="00380E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3" w:type="dxa"/>
          </w:tcPr>
          <w:p w14:paraId="384837A1" w14:textId="77777777" w:rsidR="00380E16" w:rsidRDefault="00380E16">
            <w:pPr>
              <w:pStyle w:val="TableParagraph"/>
              <w:rPr>
                <w:rFonts w:ascii="Times New Roman"/>
              </w:rPr>
            </w:pPr>
          </w:p>
        </w:tc>
      </w:tr>
      <w:tr w:rsidR="00380E16" w14:paraId="3E190348" w14:textId="77777777">
        <w:trPr>
          <w:trHeight w:val="647"/>
        </w:trPr>
        <w:tc>
          <w:tcPr>
            <w:tcW w:w="2775" w:type="dxa"/>
          </w:tcPr>
          <w:p w14:paraId="7FCCDF5B" w14:textId="77777777" w:rsidR="00380E16" w:rsidRDefault="00380E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71A19F84" w14:textId="77777777" w:rsidR="00380E16" w:rsidRDefault="00380E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31" w:type="dxa"/>
          </w:tcPr>
          <w:p w14:paraId="607175B9" w14:textId="77777777" w:rsidR="00380E16" w:rsidRDefault="00380E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</w:tcPr>
          <w:p w14:paraId="7BBE3443" w14:textId="77777777" w:rsidR="00380E16" w:rsidRDefault="00380E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3" w:type="dxa"/>
          </w:tcPr>
          <w:p w14:paraId="4AE7EA6C" w14:textId="77777777" w:rsidR="00380E16" w:rsidRDefault="00380E16">
            <w:pPr>
              <w:pStyle w:val="TableParagraph"/>
              <w:rPr>
                <w:rFonts w:ascii="Times New Roman"/>
              </w:rPr>
            </w:pPr>
          </w:p>
        </w:tc>
      </w:tr>
      <w:tr w:rsidR="00380E16" w14:paraId="79B57D09" w14:textId="77777777">
        <w:trPr>
          <w:trHeight w:val="647"/>
        </w:trPr>
        <w:tc>
          <w:tcPr>
            <w:tcW w:w="2775" w:type="dxa"/>
          </w:tcPr>
          <w:p w14:paraId="609FB706" w14:textId="77777777" w:rsidR="00380E16" w:rsidRDefault="00380E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6A3D4129" w14:textId="77777777" w:rsidR="00380E16" w:rsidRDefault="00380E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31" w:type="dxa"/>
          </w:tcPr>
          <w:p w14:paraId="4AF9B5E2" w14:textId="77777777" w:rsidR="00380E16" w:rsidRDefault="00380E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</w:tcPr>
          <w:p w14:paraId="68C37FD5" w14:textId="77777777" w:rsidR="00380E16" w:rsidRDefault="00380E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3" w:type="dxa"/>
          </w:tcPr>
          <w:p w14:paraId="2F0BFB53" w14:textId="77777777" w:rsidR="00380E16" w:rsidRDefault="00380E16">
            <w:pPr>
              <w:pStyle w:val="TableParagraph"/>
              <w:rPr>
                <w:rFonts w:ascii="Times New Roman"/>
              </w:rPr>
            </w:pPr>
          </w:p>
        </w:tc>
      </w:tr>
      <w:tr w:rsidR="00380E16" w14:paraId="3B30C164" w14:textId="77777777">
        <w:trPr>
          <w:trHeight w:val="645"/>
        </w:trPr>
        <w:tc>
          <w:tcPr>
            <w:tcW w:w="2775" w:type="dxa"/>
          </w:tcPr>
          <w:p w14:paraId="428AB2F6" w14:textId="77777777" w:rsidR="00380E16" w:rsidRDefault="00380E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5E006866" w14:textId="77777777" w:rsidR="00380E16" w:rsidRDefault="00380E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31" w:type="dxa"/>
          </w:tcPr>
          <w:p w14:paraId="50B1F383" w14:textId="77777777" w:rsidR="00380E16" w:rsidRDefault="00380E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</w:tcPr>
          <w:p w14:paraId="55D7B5FD" w14:textId="77777777" w:rsidR="00380E16" w:rsidRDefault="00380E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3" w:type="dxa"/>
          </w:tcPr>
          <w:p w14:paraId="4F6D9D1A" w14:textId="77777777" w:rsidR="00380E16" w:rsidRDefault="00380E16">
            <w:pPr>
              <w:pStyle w:val="TableParagraph"/>
              <w:rPr>
                <w:rFonts w:ascii="Times New Roman"/>
              </w:rPr>
            </w:pPr>
          </w:p>
        </w:tc>
      </w:tr>
      <w:tr w:rsidR="00380E16" w14:paraId="14CCB90A" w14:textId="77777777">
        <w:trPr>
          <w:trHeight w:val="647"/>
        </w:trPr>
        <w:tc>
          <w:tcPr>
            <w:tcW w:w="2775" w:type="dxa"/>
          </w:tcPr>
          <w:p w14:paraId="5877F617" w14:textId="77777777" w:rsidR="00380E16" w:rsidRDefault="00380E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0D28A541" w14:textId="77777777" w:rsidR="00380E16" w:rsidRDefault="00380E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31" w:type="dxa"/>
          </w:tcPr>
          <w:p w14:paraId="6B585A5E" w14:textId="77777777" w:rsidR="00380E16" w:rsidRDefault="00380E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</w:tcPr>
          <w:p w14:paraId="378FCB59" w14:textId="77777777" w:rsidR="00380E16" w:rsidRDefault="00380E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3" w:type="dxa"/>
          </w:tcPr>
          <w:p w14:paraId="2278F145" w14:textId="77777777" w:rsidR="00380E16" w:rsidRDefault="00380E16">
            <w:pPr>
              <w:pStyle w:val="TableParagraph"/>
              <w:rPr>
                <w:rFonts w:ascii="Times New Roman"/>
              </w:rPr>
            </w:pPr>
          </w:p>
        </w:tc>
      </w:tr>
    </w:tbl>
    <w:p w14:paraId="0CE3675D" w14:textId="77777777" w:rsidR="00380E16" w:rsidRDefault="00000000">
      <w:pPr>
        <w:pStyle w:val="BodyText"/>
        <w:spacing w:line="292" w:lineRule="exact"/>
        <w:ind w:left="0" w:right="1816"/>
        <w:jc w:val="right"/>
      </w:pPr>
      <w:r>
        <w:t>TOTAL:</w:t>
      </w:r>
    </w:p>
    <w:p w14:paraId="0B010D24" w14:textId="77777777" w:rsidR="00380E16" w:rsidRDefault="00000000">
      <w:pPr>
        <w:spacing w:before="184"/>
        <w:ind w:left="204"/>
        <w:rPr>
          <w:b/>
          <w:sz w:val="24"/>
        </w:rPr>
      </w:pPr>
      <w:r>
        <w:rPr>
          <w:b/>
          <w:sz w:val="24"/>
        </w:rPr>
        <w:t>General Information:</w:t>
      </w:r>
    </w:p>
    <w:p w14:paraId="4261D3F4" w14:textId="77777777" w:rsidR="00380E16" w:rsidRDefault="00000000">
      <w:pPr>
        <w:pStyle w:val="BodyText"/>
        <w:ind w:right="316"/>
      </w:pPr>
      <w:r>
        <w:t>Be informed that NFMC members are purchasing Liability Insurance only. This provides coverage to a third party for bodily injury, or property damage that the entity causes.</w:t>
      </w:r>
    </w:p>
    <w:p w14:paraId="3E0D021F" w14:textId="77777777" w:rsidR="00380E16" w:rsidRDefault="00000000">
      <w:pPr>
        <w:pStyle w:val="BodyText"/>
        <w:tabs>
          <w:tab w:val="left" w:pos="5332"/>
        </w:tabs>
        <w:spacing w:line="440" w:lineRule="atLeast"/>
        <w:ind w:right="319"/>
      </w:pPr>
      <w:r>
        <w:t xml:space="preserve">You must be a music club </w:t>
      </w:r>
      <w:r>
        <w:rPr>
          <w:u w:val="single"/>
        </w:rPr>
        <w:t>member</w:t>
      </w:r>
      <w:r>
        <w:t xml:space="preserve"> in good standing to obtain insurance. (Current annual dues payments required.) Deadline to submit requests: </w:t>
      </w:r>
      <w:r>
        <w:rPr>
          <w:b/>
        </w:rPr>
        <w:t>August</w:t>
      </w:r>
      <w:r>
        <w:rPr>
          <w:b/>
          <w:spacing w:val="-11"/>
        </w:rPr>
        <w:t xml:space="preserve"> </w:t>
      </w:r>
      <w:r>
        <w:rPr>
          <w:b/>
        </w:rPr>
        <w:t>15,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2025</w:t>
      </w:r>
      <w:proofErr w:type="gramEnd"/>
      <w:r>
        <w:rPr>
          <w:b/>
        </w:rPr>
        <w:tab/>
      </w:r>
      <w:r>
        <w:t>for events September 1 – December 31,</w:t>
      </w:r>
      <w:r>
        <w:rPr>
          <w:spacing w:val="-4"/>
        </w:rPr>
        <w:t xml:space="preserve"> </w:t>
      </w:r>
      <w:r>
        <w:t>2025</w:t>
      </w:r>
    </w:p>
    <w:p w14:paraId="141727DF" w14:textId="77777777" w:rsidR="00380E16" w:rsidRDefault="00000000">
      <w:pPr>
        <w:tabs>
          <w:tab w:val="left" w:pos="5332"/>
        </w:tabs>
        <w:spacing w:line="292" w:lineRule="exact"/>
        <w:ind w:left="3061"/>
        <w:rPr>
          <w:sz w:val="24"/>
        </w:rPr>
      </w:pPr>
      <w:r>
        <w:rPr>
          <w:b/>
          <w:sz w:val="24"/>
        </w:rPr>
        <w:t>December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1, </w:t>
      </w:r>
      <w:proofErr w:type="gramStart"/>
      <w:r>
        <w:rPr>
          <w:b/>
          <w:sz w:val="24"/>
        </w:rPr>
        <w:t>2025</w:t>
      </w:r>
      <w:proofErr w:type="gramEnd"/>
      <w:r>
        <w:rPr>
          <w:b/>
          <w:sz w:val="24"/>
        </w:rPr>
        <w:tab/>
      </w:r>
      <w:r>
        <w:rPr>
          <w:sz w:val="24"/>
        </w:rPr>
        <w:t>for events January 1 – August 31,</w:t>
      </w:r>
      <w:r>
        <w:rPr>
          <w:spacing w:val="-5"/>
          <w:sz w:val="24"/>
        </w:rPr>
        <w:t xml:space="preserve"> </w:t>
      </w:r>
      <w:r>
        <w:rPr>
          <w:sz w:val="24"/>
        </w:rPr>
        <w:t>2026</w:t>
      </w:r>
    </w:p>
    <w:p w14:paraId="576149DC" w14:textId="756AAC32" w:rsidR="00380E16" w:rsidRDefault="00000000">
      <w:pPr>
        <w:pStyle w:val="BodyText"/>
        <w:spacing w:line="293" w:lineRule="exact"/>
      </w:pPr>
      <w:r>
        <w:t>*Cost per event is $2</w:t>
      </w:r>
      <w:r w:rsidR="000144B5">
        <w:t>5</w:t>
      </w:r>
      <w:r>
        <w:t>.</w:t>
      </w:r>
    </w:p>
    <w:p w14:paraId="4A5B716F" w14:textId="77777777" w:rsidR="00380E16" w:rsidRDefault="00000000">
      <w:pPr>
        <w:pStyle w:val="BodyText"/>
        <w:ind w:left="1011"/>
      </w:pPr>
      <w:r>
        <w:t xml:space="preserve">Events registered after the designated deadlines will need to pay a </w:t>
      </w:r>
      <w:r>
        <w:rPr>
          <w:u w:val="single"/>
        </w:rPr>
        <w:t>late fee of $10 per event.</w:t>
      </w:r>
    </w:p>
    <w:p w14:paraId="311B9A79" w14:textId="4F1E162D" w:rsidR="00380E16" w:rsidRDefault="00000000">
      <w:pPr>
        <w:pStyle w:val="BodyText"/>
      </w:pPr>
      <w:r>
        <w:t xml:space="preserve">*Cost per </w:t>
      </w:r>
      <w:proofErr w:type="gramStart"/>
      <w:r>
        <w:t>event</w:t>
      </w:r>
      <w:proofErr w:type="gramEnd"/>
      <w:r>
        <w:t xml:space="preserve"> having consecutive days is $</w:t>
      </w:r>
      <w:r w:rsidR="00F20B43">
        <w:t>30</w:t>
      </w:r>
      <w:r>
        <w:t>.</w:t>
      </w:r>
    </w:p>
    <w:p w14:paraId="0B01E40F" w14:textId="12D80F79" w:rsidR="00380E16" w:rsidRDefault="00000000">
      <w:pPr>
        <w:pStyle w:val="BodyText"/>
        <w:spacing w:before="2"/>
      </w:pPr>
      <w:r>
        <w:t>*An event on a single day but at multiple sites costs $</w:t>
      </w:r>
      <w:r w:rsidR="00F20B43">
        <w:t>30</w:t>
      </w:r>
      <w:r>
        <w:t xml:space="preserve"> </w:t>
      </w:r>
      <w:r>
        <w:rPr>
          <w:u w:val="single"/>
        </w:rPr>
        <w:t>per site</w:t>
      </w:r>
      <w:r>
        <w:t>.</w:t>
      </w:r>
    </w:p>
    <w:p w14:paraId="6296CD97" w14:textId="77777777" w:rsidR="00380E16" w:rsidRDefault="00000000">
      <w:pPr>
        <w:ind w:left="204"/>
        <w:rPr>
          <w:b/>
          <w:sz w:val="24"/>
        </w:rPr>
      </w:pPr>
      <w:r>
        <w:rPr>
          <w:sz w:val="24"/>
        </w:rPr>
        <w:t xml:space="preserve">*No requests will be processed without an accurate </w:t>
      </w:r>
      <w:r>
        <w:rPr>
          <w:b/>
          <w:sz w:val="24"/>
        </w:rPr>
        <w:t>venue name, address, and date of an event.</w:t>
      </w:r>
    </w:p>
    <w:p w14:paraId="4E5A1842" w14:textId="77777777" w:rsidR="00380E16" w:rsidRDefault="00000000">
      <w:pPr>
        <w:pStyle w:val="BodyText"/>
      </w:pPr>
      <w:r>
        <w:t>*If an event requires a rider for an additionally insured entity, give the exact language required.</w:t>
      </w:r>
    </w:p>
    <w:p w14:paraId="71618639" w14:textId="05D6497C" w:rsidR="00380E16" w:rsidRDefault="00000000">
      <w:pPr>
        <w:pStyle w:val="BodyText"/>
        <w:ind w:right="628"/>
        <w:jc w:val="both"/>
      </w:pPr>
      <w:r>
        <w:t xml:space="preserve">*Any changes requested after a certificate is issued will result in a $5 change fee. If you need to change </w:t>
      </w:r>
      <w:proofErr w:type="gramStart"/>
      <w:r>
        <w:t>an</w:t>
      </w:r>
      <w:proofErr w:type="gramEnd"/>
      <w:r>
        <w:t xml:space="preserve"> even</w:t>
      </w:r>
      <w:r w:rsidR="00F20B43">
        <w:t>t</w:t>
      </w:r>
      <w:r>
        <w:t xml:space="preserve"> </w:t>
      </w:r>
      <w:proofErr w:type="gramStart"/>
      <w:r>
        <w:t>date, and</w:t>
      </w:r>
      <w:proofErr w:type="gramEnd"/>
      <w:r>
        <w:t xml:space="preserve"> wait to inform NFMC Headquarters until the original date has passed, you will </w:t>
      </w:r>
      <w:proofErr w:type="gramStart"/>
      <w:r>
        <w:t>owe</w:t>
      </w:r>
      <w:proofErr w:type="gramEnd"/>
      <w:r>
        <w:t xml:space="preserve"> another full event fee. There is NO credit given in this situation.</w:t>
      </w:r>
    </w:p>
    <w:p w14:paraId="45672846" w14:textId="77777777" w:rsidR="00380E16" w:rsidRDefault="00380E16">
      <w:pPr>
        <w:pStyle w:val="BodyText"/>
        <w:spacing w:before="11"/>
        <w:ind w:left="0"/>
        <w:rPr>
          <w:sz w:val="23"/>
        </w:rPr>
      </w:pPr>
    </w:p>
    <w:p w14:paraId="2180F11B" w14:textId="5EE3F29B" w:rsidR="00380E16" w:rsidRDefault="00000000">
      <w:pPr>
        <w:pStyle w:val="BodyText"/>
      </w:pPr>
      <w:r>
        <w:rPr>
          <w:color w:val="C00000"/>
        </w:rPr>
        <w:t>What is needed from you: 1) request for insurance, 2) payment, ($2</w:t>
      </w:r>
      <w:r w:rsidR="00F20B43">
        <w:rPr>
          <w:color w:val="C00000"/>
        </w:rPr>
        <w:t>5</w:t>
      </w:r>
      <w:r>
        <w:rPr>
          <w:color w:val="C00000"/>
        </w:rPr>
        <w:t xml:space="preserve"> per event, $</w:t>
      </w:r>
      <w:r w:rsidR="00F20B43">
        <w:rPr>
          <w:color w:val="C00000"/>
        </w:rPr>
        <w:t>30</w:t>
      </w:r>
      <w:r>
        <w:rPr>
          <w:color w:val="C00000"/>
        </w:rPr>
        <w:t xml:space="preserve"> for consecutive days)</w:t>
      </w:r>
    </w:p>
    <w:p w14:paraId="6AAE4CF5" w14:textId="688E6D0B" w:rsidR="00380E16" w:rsidRDefault="00000000">
      <w:pPr>
        <w:pStyle w:val="BodyText"/>
        <w:ind w:left="260" w:right="1426"/>
      </w:pPr>
      <w:r>
        <w:rPr>
          <w:color w:val="C00000"/>
        </w:rPr>
        <w:t>3) signed Child Protection Policy Form, 4) State Participation Declaration</w:t>
      </w:r>
      <w:r w:rsidR="00F20B43">
        <w:rPr>
          <w:color w:val="C00000"/>
        </w:rPr>
        <w:t xml:space="preserve"> (submitted once)</w:t>
      </w:r>
    </w:p>
    <w:p w14:paraId="3BCB3D07" w14:textId="77777777" w:rsidR="00380E16" w:rsidRDefault="00380E16">
      <w:pPr>
        <w:pStyle w:val="BodyText"/>
        <w:spacing w:before="12"/>
        <w:ind w:left="0"/>
        <w:rPr>
          <w:sz w:val="35"/>
        </w:rPr>
      </w:pPr>
    </w:p>
    <w:p w14:paraId="7EF11034" w14:textId="77777777" w:rsidR="00380E16" w:rsidRDefault="00000000">
      <w:pPr>
        <w:pStyle w:val="BodyText"/>
        <w:ind w:left="315" w:right="2595" w:hanging="111"/>
      </w:pPr>
      <w:r>
        <w:t xml:space="preserve">*A certificate verifying insurance coverage </w:t>
      </w:r>
      <w:r>
        <w:rPr>
          <w:u w:val="single"/>
        </w:rPr>
        <w:t>is issued only to an event venue that requests it</w:t>
      </w:r>
      <w:r>
        <w:t xml:space="preserve">. Certificates will be sent to the </w:t>
      </w:r>
      <w:r>
        <w:rPr>
          <w:b/>
        </w:rPr>
        <w:t>State Liability Chair only</w:t>
      </w:r>
      <w:r>
        <w:t>.</w:t>
      </w:r>
    </w:p>
    <w:p w14:paraId="22A7036C" w14:textId="77777777" w:rsidR="009C7F17" w:rsidRDefault="00000000" w:rsidP="009C7F17">
      <w:pPr>
        <w:pStyle w:val="BodyText"/>
        <w:spacing w:before="146"/>
        <w:ind w:left="1011"/>
      </w:pPr>
      <w:r>
        <w:t>Coverage is not guaranteed until payment is received and processed by NFMC Headquarters.</w:t>
      </w:r>
    </w:p>
    <w:p w14:paraId="1A9987B2" w14:textId="2FD41399" w:rsidR="00380E16" w:rsidRPr="009C7F17" w:rsidRDefault="009C7F17" w:rsidP="009C7F17">
      <w:pPr>
        <w:pStyle w:val="BodyText"/>
        <w:spacing w:before="146"/>
        <w:ind w:left="1011"/>
      </w:pPr>
      <w:r>
        <w:t xml:space="preserve">                   </w:t>
      </w:r>
      <w:r w:rsidR="00000000">
        <w:t>“</w:t>
      </w:r>
      <w:r w:rsidR="00000000">
        <w:rPr>
          <w:i/>
        </w:rPr>
        <w:t>No payment = No Insurance”</w:t>
      </w:r>
      <w:r>
        <w:rPr>
          <w:i/>
        </w:rPr>
        <w:t xml:space="preserve"> </w:t>
      </w:r>
      <w:r>
        <w:rPr>
          <w:b/>
          <w:bCs/>
          <w:iCs/>
        </w:rPr>
        <w:t>Make checks payable to: FFMC</w:t>
      </w:r>
    </w:p>
    <w:p w14:paraId="0EF76A9F" w14:textId="744D4706" w:rsidR="00380E16" w:rsidRDefault="00F20B43">
      <w:pPr>
        <w:spacing w:before="146"/>
        <w:ind w:left="204" w:right="90"/>
        <w:rPr>
          <w:sz w:val="24"/>
        </w:rPr>
      </w:pPr>
      <w:r>
        <w:rPr>
          <w:bCs/>
          <w:sz w:val="24"/>
        </w:rPr>
        <w:t>S</w:t>
      </w:r>
      <w:r>
        <w:rPr>
          <w:sz w:val="24"/>
        </w:rPr>
        <w:t xml:space="preserve">end this form with </w:t>
      </w:r>
      <w:r>
        <w:rPr>
          <w:sz w:val="24"/>
          <w:u w:val="single"/>
        </w:rPr>
        <w:t>signed</w:t>
      </w:r>
      <w:r>
        <w:rPr>
          <w:sz w:val="24"/>
        </w:rPr>
        <w:t xml:space="preserve"> Child Protection Form and payment to: Linda Blessing, Liability Insurance Chair</w:t>
      </w:r>
    </w:p>
    <w:p w14:paraId="44C20228" w14:textId="5CF9DF24" w:rsidR="00380E16" w:rsidRDefault="00F20B43">
      <w:pPr>
        <w:spacing w:line="293" w:lineRule="exact"/>
        <w:ind w:left="204"/>
        <w:rPr>
          <w:b/>
          <w:sz w:val="24"/>
        </w:rPr>
      </w:pPr>
      <w:r>
        <w:rPr>
          <w:sz w:val="24"/>
        </w:rPr>
        <w:t xml:space="preserve">1266 NW 129 Drive, Newberry. FL 32669   </w:t>
      </w:r>
      <w:r>
        <w:rPr>
          <w:b/>
          <w:sz w:val="24"/>
        </w:rPr>
        <w:t xml:space="preserve">Email: </w:t>
      </w:r>
      <w:hyperlink r:id="rId4" w:history="1">
        <w:r w:rsidRPr="00637777">
          <w:rPr>
            <w:rStyle w:val="Hyperlink"/>
            <w:b/>
            <w:sz w:val="24"/>
          </w:rPr>
          <w:t>musicbless@aol.com</w:t>
        </w:r>
      </w:hyperlink>
      <w:r>
        <w:rPr>
          <w:b/>
          <w:sz w:val="24"/>
        </w:rPr>
        <w:t xml:space="preserve"> or </w:t>
      </w:r>
      <w:hyperlink r:id="rId5" w:history="1">
        <w:r w:rsidRPr="00637777">
          <w:rPr>
            <w:rStyle w:val="Hyperlink"/>
            <w:b/>
            <w:sz w:val="24"/>
          </w:rPr>
          <w:t>musiclady.lb@gmail.com</w:t>
        </w:r>
      </w:hyperlink>
    </w:p>
    <w:p w14:paraId="70243A5E" w14:textId="77777777" w:rsidR="00F20B43" w:rsidRDefault="00F20B43">
      <w:pPr>
        <w:spacing w:line="293" w:lineRule="exact"/>
        <w:ind w:left="204"/>
        <w:rPr>
          <w:b/>
          <w:sz w:val="24"/>
        </w:rPr>
      </w:pPr>
    </w:p>
    <w:sectPr w:rsidR="00F20B43">
      <w:type w:val="continuous"/>
      <w:pgSz w:w="12240" w:h="15840"/>
      <w:pgMar w:top="380" w:right="1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16"/>
    <w:rsid w:val="000144B5"/>
    <w:rsid w:val="002E7322"/>
    <w:rsid w:val="00380E16"/>
    <w:rsid w:val="009C7F17"/>
    <w:rsid w:val="00B532C0"/>
    <w:rsid w:val="00F2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A5396"/>
  <w15:docId w15:val="{58A65461-A9E6-4BC2-AF36-1C1635B1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20B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siclady.lb@gmail.com" TargetMode="External"/><Relationship Id="rId4" Type="http://schemas.openxmlformats.org/officeDocument/2006/relationships/hyperlink" Target="mailto:musicbless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Linda Blessing</cp:lastModifiedBy>
  <cp:revision>3</cp:revision>
  <dcterms:created xsi:type="dcterms:W3CDTF">2025-07-24T17:13:00Z</dcterms:created>
  <dcterms:modified xsi:type="dcterms:W3CDTF">2025-07-25T13:26:00Z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2025-07-24T00:00:00Z</vt:filetime>
  </property>
</Properties>
</file>